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87A" w:rsidRPr="00DC7ECC" w:rsidRDefault="007B587A" w:rsidP="00971320">
      <w:pPr>
        <w:pStyle w:val="11"/>
        <w:spacing w:before="0" w:after="60"/>
        <w:ind w:left="57" w:firstLine="652"/>
        <w:jc w:val="center"/>
        <w:rPr>
          <w:sz w:val="24"/>
          <w:szCs w:val="24"/>
        </w:rPr>
      </w:pPr>
      <w:bookmarkStart w:id="0" w:name="_GoBack"/>
      <w:bookmarkEnd w:id="0"/>
      <w:r w:rsidRPr="00DC7ECC">
        <w:rPr>
          <w:b/>
          <w:sz w:val="24"/>
          <w:szCs w:val="24"/>
        </w:rPr>
        <w:t>Розділ V</w:t>
      </w:r>
      <w:r w:rsidR="003B2B44" w:rsidRPr="00DC7ECC">
        <w:rPr>
          <w:b/>
          <w:sz w:val="24"/>
          <w:szCs w:val="24"/>
        </w:rPr>
        <w:t xml:space="preserve"> </w:t>
      </w:r>
      <w:r w:rsidRPr="00DC7ECC">
        <w:rPr>
          <w:b/>
          <w:bCs/>
          <w:sz w:val="24"/>
          <w:szCs w:val="24"/>
        </w:rPr>
        <w:t>ДІЯЛЬНІСТЬ, ПОВ’ЯЗАНА З РИНКАМИ КАПІТАЛУ ТА ОРГАНІЗОВАНИМИ ТОВАРНИМИ РИНКАМИ</w:t>
      </w:r>
    </w:p>
    <w:p w:rsidR="003B2B44" w:rsidRPr="00DC7ECC" w:rsidRDefault="003B2B44" w:rsidP="00971320">
      <w:pPr>
        <w:pStyle w:val="11"/>
        <w:spacing w:before="0" w:after="60"/>
        <w:ind w:left="57" w:firstLine="652"/>
        <w:jc w:val="center"/>
        <w:rPr>
          <w:b/>
          <w:sz w:val="24"/>
          <w:szCs w:val="24"/>
        </w:rPr>
      </w:pPr>
      <w:r w:rsidRPr="00DC7ECC">
        <w:rPr>
          <w:b/>
          <w:sz w:val="24"/>
          <w:szCs w:val="24"/>
        </w:rPr>
        <w:t xml:space="preserve"> проекту </w:t>
      </w:r>
      <w:r w:rsidRPr="00DC7ECC">
        <w:rPr>
          <w:b/>
          <w:bCs/>
          <w:sz w:val="24"/>
          <w:szCs w:val="24"/>
        </w:rPr>
        <w:t xml:space="preserve">Закону України </w:t>
      </w:r>
      <w:r w:rsidRPr="00DC7ECC">
        <w:rPr>
          <w:b/>
          <w:sz w:val="24"/>
          <w:szCs w:val="24"/>
        </w:rPr>
        <w:t xml:space="preserve"> «Про внесення змін до деяких законодавчих актів України щодо спрощення залучення інвестицій та запровадження нових фінансових інструментів» (далі – Законопроект</w:t>
      </w:r>
      <w:r w:rsidR="003C6B3E" w:rsidRPr="00DC7ECC">
        <w:rPr>
          <w:b/>
          <w:sz w:val="24"/>
          <w:szCs w:val="24"/>
        </w:rPr>
        <w:t xml:space="preserve"> № 2284</w:t>
      </w:r>
      <w:r w:rsidRPr="00DC7ECC">
        <w:rPr>
          <w:b/>
          <w:sz w:val="24"/>
          <w:szCs w:val="24"/>
        </w:rPr>
        <w:t>)</w:t>
      </w:r>
    </w:p>
    <w:p w:rsidR="00E0714C" w:rsidRPr="00DC7ECC" w:rsidRDefault="00E0714C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B587A" w:rsidRPr="00DC7ECC" w:rsidRDefault="007B587A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Директива ЄС № 2014/65/ЄС від 15 травня 2014 року про ринки фінансових інструментів (</w:t>
      </w:r>
      <w:proofErr w:type="spellStart"/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MiFID</w:t>
      </w:r>
      <w:proofErr w:type="spellEnd"/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II) виділяє окремий вид послуг </w:t>
      </w:r>
      <w:r w:rsidR="008E1D60" w:rsidRPr="00DC7ECC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для інвестиційних фірм та організованих ринків</w:t>
      </w:r>
      <w:r w:rsidR="00EF6B8A" w:rsidRPr="00DC7ECC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 xml:space="preserve"> -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послуги з повідомлення даних, які поділяються на:</w:t>
      </w:r>
    </w:p>
    <w:p w:rsidR="007B587A" w:rsidRPr="00DC7ECC" w:rsidRDefault="007B587A" w:rsidP="00971320">
      <w:pPr>
        <w:pStyle w:val="a3"/>
        <w:widowControl w:val="0"/>
        <w:numPr>
          <w:ilvl w:val="0"/>
          <w:numId w:val="2"/>
        </w:numPr>
        <w:tabs>
          <w:tab w:val="left" w:pos="900"/>
        </w:tabs>
        <w:spacing w:after="60" w:line="240" w:lineRule="auto"/>
        <w:ind w:left="57" w:firstLine="652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C7ECC">
        <w:rPr>
          <w:rFonts w:ascii="Times New Roman" w:eastAsia="Times New Roman" w:hAnsi="Times New Roman" w:cs="Times New Roman"/>
          <w:sz w:val="24"/>
          <w:szCs w:val="24"/>
        </w:rPr>
        <w:t xml:space="preserve">Управління затвердженим механізмом публікацій. Особа, уповноважена за цією директивою надає послугу публікації торговельних звітів </w:t>
      </w:r>
      <w:r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від імені інвестиційних фірм</w:t>
      </w:r>
      <w:r w:rsidRPr="00DC7ECC">
        <w:rPr>
          <w:rFonts w:ascii="Times New Roman" w:eastAsia="Times New Roman" w:hAnsi="Times New Roman" w:cs="Times New Roman"/>
          <w:sz w:val="24"/>
          <w:szCs w:val="24"/>
        </w:rPr>
        <w:t xml:space="preserve"> на виконання статей 20 і 21 Регламенту (EU) № 600/2014;</w:t>
      </w:r>
    </w:p>
    <w:p w:rsidR="007B587A" w:rsidRPr="00DC7ECC" w:rsidRDefault="007B587A" w:rsidP="00971320">
      <w:pPr>
        <w:pStyle w:val="a3"/>
        <w:widowControl w:val="0"/>
        <w:numPr>
          <w:ilvl w:val="0"/>
          <w:numId w:val="2"/>
        </w:numPr>
        <w:tabs>
          <w:tab w:val="left" w:pos="900"/>
        </w:tabs>
        <w:spacing w:after="60" w:line="240" w:lineRule="auto"/>
        <w:ind w:left="57" w:firstLine="652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C7ECC">
        <w:rPr>
          <w:rFonts w:ascii="Times New Roman" w:eastAsia="Times New Roman" w:hAnsi="Times New Roman" w:cs="Times New Roman"/>
          <w:sz w:val="24"/>
          <w:szCs w:val="24"/>
        </w:rPr>
        <w:t>Управління надавач</w:t>
      </w:r>
      <w:r w:rsidR="008E1D60" w:rsidRPr="00DC7EC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C7ECC">
        <w:rPr>
          <w:rFonts w:ascii="Times New Roman" w:eastAsia="Times New Roman" w:hAnsi="Times New Roman" w:cs="Times New Roman"/>
          <w:sz w:val="24"/>
          <w:szCs w:val="24"/>
        </w:rPr>
        <w:t xml:space="preserve">м зведених даних. Особа, уповноважена </w:t>
      </w:r>
      <w:r w:rsidR="007919D5" w:rsidRPr="00DC7ECC">
        <w:rPr>
          <w:rFonts w:ascii="Times New Roman" w:eastAsia="Times New Roman" w:hAnsi="Times New Roman" w:cs="Times New Roman"/>
          <w:sz w:val="24"/>
          <w:szCs w:val="24"/>
        </w:rPr>
        <w:t xml:space="preserve">за цією директивою надавати послугу збирання торговельних звітів щодо фінансових інструментів, перерахованих у статтях 6, 7, 10, 12 і 13, 20 і 21 Регламенту (EU) № 600/2014, у </w:t>
      </w:r>
      <w:r w:rsidR="007919D5"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регульованих ринків, багатосторонніх торгівельних майданчиків, організованих торгівельних майданчиків і затверджених механізмів публікацій</w:t>
      </w:r>
      <w:r w:rsidR="007919D5" w:rsidRPr="00DC7ECC">
        <w:rPr>
          <w:rFonts w:ascii="Times New Roman" w:eastAsia="Times New Roman" w:hAnsi="Times New Roman" w:cs="Times New Roman"/>
          <w:sz w:val="24"/>
          <w:szCs w:val="24"/>
        </w:rPr>
        <w:t xml:space="preserve"> та зведення їх у безперервний електронний потік оперативних даних про ціни та обсяги в розрізі фінансових інструментів</w:t>
      </w:r>
      <w:r w:rsidRPr="00DC7EC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B587A" w:rsidRPr="00DC7ECC" w:rsidRDefault="007B587A" w:rsidP="00971320">
      <w:pPr>
        <w:pStyle w:val="a3"/>
        <w:widowControl w:val="0"/>
        <w:numPr>
          <w:ilvl w:val="0"/>
          <w:numId w:val="2"/>
        </w:numPr>
        <w:tabs>
          <w:tab w:val="left" w:pos="900"/>
        </w:tabs>
        <w:spacing w:after="60" w:line="240" w:lineRule="auto"/>
        <w:ind w:left="57" w:firstLine="652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C7ECC">
        <w:rPr>
          <w:rFonts w:ascii="Times New Roman" w:eastAsia="Times New Roman" w:hAnsi="Times New Roman" w:cs="Times New Roman"/>
          <w:sz w:val="24"/>
          <w:szCs w:val="24"/>
        </w:rPr>
        <w:t xml:space="preserve">Управління затвердженим механізмом звітування. Особа, уповноважена за цією директивою </w:t>
      </w:r>
      <w:r w:rsidR="007919D5" w:rsidRPr="00DC7ECC">
        <w:rPr>
          <w:rFonts w:ascii="Times New Roman" w:eastAsia="Times New Roman" w:hAnsi="Times New Roman" w:cs="Times New Roman"/>
          <w:sz w:val="24"/>
          <w:szCs w:val="24"/>
        </w:rPr>
        <w:t xml:space="preserve">надавати послугу повідомлення даних про операції компетентним органам або ESMA </w:t>
      </w:r>
      <w:r w:rsidR="007919D5"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від імені інвестиційних фірм</w:t>
      </w:r>
      <w:r w:rsidRPr="00DC7E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1320" w:rsidRPr="00DC7ECC" w:rsidRDefault="00971320" w:rsidP="00971320">
      <w:pPr>
        <w:pStyle w:val="a3"/>
        <w:widowControl w:val="0"/>
        <w:tabs>
          <w:tab w:val="left" w:pos="900"/>
        </w:tabs>
        <w:spacing w:after="60" w:line="240" w:lineRule="auto"/>
        <w:ind w:left="57" w:firstLine="652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7ECC">
        <w:rPr>
          <w:rFonts w:ascii="Times New Roman" w:eastAsia="Times New Roman" w:hAnsi="Times New Roman" w:cs="Times New Roman"/>
          <w:sz w:val="24"/>
          <w:szCs w:val="24"/>
        </w:rPr>
        <w:tab/>
        <w:t xml:space="preserve">У статтях 6, 10 Регламенту (EU) № 600/2014 містяться зобов’язання </w:t>
      </w:r>
      <w:r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для операторів ринку та інвестиційних компаній</w:t>
      </w:r>
      <w:r w:rsidRPr="00DC7ECC">
        <w:rPr>
          <w:rFonts w:ascii="Times New Roman" w:eastAsia="Times New Roman" w:hAnsi="Times New Roman" w:cs="Times New Roman"/>
          <w:sz w:val="24"/>
          <w:szCs w:val="24"/>
        </w:rPr>
        <w:t>, що функціонують у місці здійснення торгівлі, оприлюднювати ціну, обсяг та час транзакції, виконаних відносно акцій, депозитарних розписок, сертифікатів та інших аналогічних фінансових інструментів, а також облігацій, структурованих фінансових продуктів, квот на викиди і деривативи, що обертаються на даному місці здійснення торгівлі.</w:t>
      </w:r>
    </w:p>
    <w:p w:rsidR="005F38F9" w:rsidRPr="00DC7ECC" w:rsidRDefault="00971320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7ECC">
        <w:rPr>
          <w:rFonts w:ascii="Times New Roman" w:eastAsia="Times New Roman" w:hAnsi="Times New Roman" w:cs="Times New Roman"/>
          <w:sz w:val="24"/>
          <w:szCs w:val="24"/>
        </w:rPr>
        <w:tab/>
      </w:r>
      <w:r w:rsidR="008D1A03" w:rsidRPr="00DC7ECC">
        <w:rPr>
          <w:rFonts w:ascii="Times New Roman" w:eastAsia="Times New Roman" w:hAnsi="Times New Roman" w:cs="Times New Roman"/>
          <w:sz w:val="24"/>
          <w:szCs w:val="24"/>
        </w:rPr>
        <w:t xml:space="preserve">У статті 20 Регламенту (EU) № 600/2014 мова йде про звіти </w:t>
      </w:r>
      <w:r w:rsidR="00EF6B8A"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і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нвестиційн</w:t>
      </w:r>
      <w:r w:rsidR="008D1A03"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их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компані</w:t>
      </w:r>
      <w:r w:rsidR="008D1A03"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й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</w:rPr>
        <w:t>, які у власних інтересах або від імені клієнтів  укладають угоди з акціями, депозитарними розписками, сертифікатами та іншими аналогічними фінансовими інструментами, що обертаються у місці здійснення торгівлі</w:t>
      </w:r>
      <w:r w:rsidR="008D1A03" w:rsidRPr="00DC7ECC">
        <w:rPr>
          <w:rFonts w:ascii="Times New Roman" w:eastAsia="Times New Roman" w:hAnsi="Times New Roman" w:cs="Times New Roman"/>
          <w:sz w:val="24"/>
          <w:szCs w:val="24"/>
        </w:rPr>
        <w:t xml:space="preserve"> (фондові біржі)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D1A03" w:rsidRPr="00DC7EC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</w:rPr>
        <w:t>повинні оприлюднювати обсяг та ціну, зазначених угод та час укладання зазначених угод</w:t>
      </w:r>
      <w:r w:rsidR="008D1A03" w:rsidRPr="00DC7E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38F9" w:rsidRPr="00DC7ECC" w:rsidRDefault="008D1A03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7ECC">
        <w:rPr>
          <w:rFonts w:ascii="Times New Roman" w:eastAsia="Times New Roman" w:hAnsi="Times New Roman" w:cs="Times New Roman"/>
          <w:sz w:val="24"/>
          <w:szCs w:val="24"/>
        </w:rPr>
        <w:tab/>
        <w:t>У статті 2</w:t>
      </w:r>
      <w:r w:rsidR="007919D5" w:rsidRPr="00DC7EC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C7ECC">
        <w:rPr>
          <w:rFonts w:ascii="Times New Roman" w:eastAsia="Times New Roman" w:hAnsi="Times New Roman" w:cs="Times New Roman"/>
          <w:sz w:val="24"/>
          <w:szCs w:val="24"/>
        </w:rPr>
        <w:t xml:space="preserve"> Регламенту (EU) № 600/2014 мова йде про звіти </w:t>
      </w:r>
      <w:r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і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нвестиційн</w:t>
      </w:r>
      <w:r w:rsidRPr="00DC7ECC">
        <w:rPr>
          <w:rFonts w:ascii="Times New Roman" w:eastAsia="Times New Roman" w:hAnsi="Times New Roman" w:cs="Times New Roman"/>
          <w:sz w:val="24"/>
          <w:szCs w:val="24"/>
          <w:u w:val="single"/>
        </w:rPr>
        <w:t>их компаній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</w:rPr>
        <w:t xml:space="preserve">, які у власних інтересах або від імені клієнтів, укладають угоди щодо облігацій, структурованих фінансових продуктів, квот на викиди та деривативів, що обертаються у місці здійснення торгівлі, </w:t>
      </w:r>
      <w:r w:rsidRPr="00DC7ECC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</w:rPr>
        <w:t xml:space="preserve">повинні оприлюднювати обсяг та ціну зазначених угод та час укладання зазначених угод. </w:t>
      </w:r>
    </w:p>
    <w:p w:rsidR="00D02236" w:rsidRPr="00DC7ECC" w:rsidRDefault="00D02236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C7ECC">
        <w:rPr>
          <w:rFonts w:ascii="Times New Roman" w:eastAsia="Times New Roman" w:hAnsi="Times New Roman" w:cs="Times New Roman"/>
          <w:sz w:val="24"/>
          <w:szCs w:val="24"/>
        </w:rPr>
        <w:t xml:space="preserve">Отже, відповідно до </w:t>
      </w:r>
      <w:proofErr w:type="spellStart"/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MiFID</w:t>
      </w:r>
      <w:proofErr w:type="spellEnd"/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II послуги з повідомлення даних стосуються збирання та передачі інформації (торгових звітів) виключно від інвестиційних фірм, операторів ринку до заінтересованих</w:t>
      </w:r>
      <w:r w:rsidR="005348AE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осіб (наприклад, інвесторів) та регуляторам на національному рівні, або на європейському.</w:t>
      </w:r>
    </w:p>
    <w:p w:rsidR="005348AE" w:rsidRPr="00DC7ECC" w:rsidRDefault="005348AE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Іншим суб’єктом, який розкриває інформацію для </w:t>
      </w:r>
      <w:r w:rsidR="00DA4ECF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заінтересованих осіб (інвесторів) та контролюючим органом є емітент.</w:t>
      </w:r>
    </w:p>
    <w:p w:rsidR="007B587A" w:rsidRPr="00DC7ECC" w:rsidRDefault="008E1D60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Регламент Європейського Парламенту та Ради №596/2014 від 16 квітня 2014 року про зловживання на ринку у статті 17 встановлює, що емітент цінних паперів зобов’язаний оприлюднити особливу та регулярну інформацію способом, який би забезпечував швидкий доступ до неї та можливість повної та правильної її оцінки усіма бажаючими, а також у визначених випадках </w:t>
      </w:r>
      <w:r w:rsidR="00EF6B8A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оприлюднювати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державній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офіційній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системі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мова про яку </w:t>
      </w:r>
      <w:r w:rsidR="00EF6B8A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йде</w:t>
      </w:r>
      <w:r w:rsidR="005F38F9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статті 21 Директиви Європейського Парламенту та Ради №2004/109/ЄС про узгодження вимог щодо прозорості інформації про емітентів, цінні папери яких допущені до торгів на регульованому ринку.</w:t>
      </w:r>
    </w:p>
    <w:p w:rsidR="005F38F9" w:rsidRPr="00DC7ECC" w:rsidRDefault="005F38F9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Слід зазначити, що вимоги Регламенту №596/2014 розповсюджуються лише на емітентів, що здійснюють публічну емісію цінних паперів, або цінні папери яких допущені до 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обігу на регульованому ринку (фондовій біржі).</w:t>
      </w:r>
    </w:p>
    <w:p w:rsidR="005F38F9" w:rsidRPr="00DC7ECC" w:rsidRDefault="005F38F9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Стаття 21 Директиви Європейського Парламенту та Ради №2004/109/ЄС покладає на національні органи по фінансовому надзору за фондовим ринком обов’язок забезпечити існування та функціонування щонайменше однієї державної офіційної системи, яка б централізовано збирала інформацію про емітентів. Ця система повинна відповідати мінімальним </w:t>
      </w:r>
      <w:r w:rsidR="00EF6B8A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стандартам щодо безпеки, джерел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інформації, визначеності даних, запису дат та легкого доступу для кінцевих користувачів.</w:t>
      </w:r>
    </w:p>
    <w:p w:rsidR="00660DC5" w:rsidRPr="00DC7ECC" w:rsidRDefault="00660DC5" w:rsidP="00971320">
      <w:pPr>
        <w:widowControl w:val="0"/>
        <w:tabs>
          <w:tab w:val="left" w:pos="900"/>
        </w:tabs>
        <w:spacing w:after="60" w:line="240" w:lineRule="auto"/>
        <w:ind w:left="57"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Наприклад, у Польщі регулятор фінансового ринку – Комісія по фінансовому надзору</w:t>
      </w:r>
      <w:r w:rsidR="008073E8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створила власну систему</w:t>
      </w:r>
      <w:r w:rsidR="008073E8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отримання звітів від фінансових компаній </w:t>
      </w:r>
      <w:r w:rsidR="008073E8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виконання </w:t>
      </w:r>
      <w:r w:rsidR="008073E8" w:rsidRPr="00DC7ECC">
        <w:rPr>
          <w:rFonts w:ascii="Times New Roman" w:eastAsia="Times New Roman" w:hAnsi="Times New Roman" w:cs="Times New Roman"/>
          <w:sz w:val="24"/>
          <w:szCs w:val="24"/>
        </w:rPr>
        <w:t xml:space="preserve">Регламенту (EU) № 600/2014 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та надає до неї доступ на безкоштовній основі при використанні електронного підпису</w:t>
      </w:r>
      <w:r w:rsidR="008073E8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виданого її </w:t>
      </w:r>
      <w:r w:rsidR="0090648F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ж </w:t>
      </w:r>
      <w:r w:rsidR="008073E8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центром сертифікації ключів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(послуга </w:t>
      </w:r>
      <w:proofErr w:type="spellStart"/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Web</w:t>
      </w:r>
      <w:proofErr w:type="spellEnd"/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Service</w:t>
      </w:r>
      <w:proofErr w:type="spellEnd"/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). Крім цього одночасно з послугою, що надається </w:t>
      </w:r>
      <w:r w:rsidR="0090648F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Комісією по фінансовому надзору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у Польщі є авторизований інформаційний агент, який </w:t>
      </w:r>
      <w:r w:rsidR="008073E8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має право передавати звіти інвестиційних компаній до фінансового регулятора. </w:t>
      </w:r>
      <w:r w:rsidR="0002078B"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Послуги інформаційного агента надаються на договірній (добровільній) та платній основі.</w:t>
      </w:r>
      <w:r w:rsidRPr="00DC7EC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8D1A03" w:rsidRPr="00DC7ECC" w:rsidRDefault="00EF6B8A" w:rsidP="00971320">
      <w:pPr>
        <w:pStyle w:val="2"/>
        <w:shd w:val="clear" w:color="auto" w:fill="FFFFFF"/>
        <w:tabs>
          <w:tab w:val="left" w:pos="900"/>
          <w:tab w:val="left" w:pos="1026"/>
        </w:tabs>
        <w:spacing w:after="60" w:line="240" w:lineRule="auto"/>
        <w:ind w:left="57" w:firstLine="65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DC7ECC">
        <w:rPr>
          <w:rFonts w:ascii="Times New Roman" w:hAnsi="Times New Roman"/>
          <w:sz w:val="24"/>
          <w:szCs w:val="24"/>
          <w:lang w:val="uk-UA"/>
        </w:rPr>
        <w:tab/>
      </w:r>
      <w:r w:rsidR="008D1A03" w:rsidRPr="00DC7ECC">
        <w:rPr>
          <w:rFonts w:ascii="Times New Roman" w:hAnsi="Times New Roman"/>
          <w:sz w:val="24"/>
          <w:szCs w:val="24"/>
          <w:lang w:val="uk-UA" w:eastAsia="uk-UA"/>
        </w:rPr>
        <w:t xml:space="preserve">До 01 січня 2019 року </w:t>
      </w:r>
      <w:r w:rsidR="008D1A03" w:rsidRPr="00DC7ECC">
        <w:rPr>
          <w:rFonts w:ascii="Times New Roman" w:hAnsi="Times New Roman"/>
          <w:sz w:val="24"/>
          <w:szCs w:val="24"/>
          <w:u w:val="single"/>
          <w:lang w:val="uk-UA" w:eastAsia="uk-UA"/>
        </w:rPr>
        <w:t>НКЦПФР у відповідності до європейських стандартів</w:t>
      </w:r>
      <w:r w:rsidR="008D1A03" w:rsidRPr="00DC7ECC">
        <w:rPr>
          <w:rFonts w:ascii="Times New Roman" w:hAnsi="Times New Roman"/>
          <w:sz w:val="24"/>
          <w:szCs w:val="24"/>
          <w:lang w:val="uk-UA" w:eastAsia="uk-UA"/>
        </w:rPr>
        <w:t xml:space="preserve"> забезпечувала одержання інформації про торгові звіти від інвестиційних фірм (торговців цінними паперами) у складі адміністративних даних та емітентів цінних паперів (</w:t>
      </w:r>
      <w:r w:rsidRPr="00DC7ECC">
        <w:rPr>
          <w:rFonts w:ascii="Times New Roman" w:hAnsi="Times New Roman"/>
          <w:sz w:val="24"/>
          <w:szCs w:val="24"/>
          <w:lang w:val="uk-UA" w:eastAsia="uk-UA"/>
        </w:rPr>
        <w:t>щоправда</w:t>
      </w:r>
      <w:r w:rsidR="008D1A03" w:rsidRPr="00DC7ECC">
        <w:rPr>
          <w:rFonts w:ascii="Times New Roman" w:hAnsi="Times New Roman"/>
          <w:sz w:val="24"/>
          <w:szCs w:val="24"/>
          <w:lang w:val="uk-UA" w:eastAsia="uk-UA"/>
        </w:rPr>
        <w:t xml:space="preserve"> усіх емітентів, а не тільки тих, що здійснили публічну емісію, або цінні папери яких були допущені до обігу на фондовій біржі)</w:t>
      </w:r>
      <w:r w:rsidR="008D1A03" w:rsidRPr="00DC7EC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C7ECC">
        <w:rPr>
          <w:rFonts w:ascii="Times New Roman" w:hAnsi="Times New Roman"/>
          <w:sz w:val="24"/>
          <w:szCs w:val="24"/>
          <w:lang w:val="uk-UA"/>
        </w:rPr>
        <w:t xml:space="preserve">безпосередньо </w:t>
      </w:r>
      <w:r w:rsidR="008D1A03" w:rsidRPr="00DC7ECC">
        <w:rPr>
          <w:rFonts w:ascii="Times New Roman" w:hAnsi="Times New Roman"/>
          <w:sz w:val="24"/>
          <w:szCs w:val="24"/>
          <w:lang w:val="uk-UA"/>
        </w:rPr>
        <w:t>за допомогою власних систем. Звітність емітентів та професійних учасників фондового ринку надавалась до регулятора без посередників та на безоплатній основі.</w:t>
      </w:r>
    </w:p>
    <w:p w:rsidR="008D1A03" w:rsidRPr="00DC7ECC" w:rsidRDefault="008D1A03" w:rsidP="00971320">
      <w:pPr>
        <w:pStyle w:val="2"/>
        <w:shd w:val="clear" w:color="auto" w:fill="FFFFFF"/>
        <w:tabs>
          <w:tab w:val="left" w:pos="900"/>
          <w:tab w:val="left" w:pos="1026"/>
        </w:tabs>
        <w:spacing w:after="60" w:line="240" w:lineRule="auto"/>
        <w:ind w:left="57" w:firstLine="65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DC7ECC">
        <w:rPr>
          <w:rFonts w:ascii="Times New Roman" w:hAnsi="Times New Roman"/>
          <w:sz w:val="24"/>
          <w:szCs w:val="24"/>
          <w:lang w:val="uk-UA"/>
        </w:rPr>
        <w:tab/>
        <w:t>Після 01 січня 2019, коли набрали чинності норми Закону України №2210 «Про внесення змін до деяких законодавчих актів України щодо спрощення ведення бізнесу та залучення інвестицій емітентами цінних паперів», НКЦПФР авторизувала 1 особу – надавача інформаційних послуг на фондовому ринку,</w:t>
      </w:r>
      <w:r w:rsidR="00EF6B8A" w:rsidRPr="00DC7ECC">
        <w:rPr>
          <w:rFonts w:ascii="Times New Roman" w:hAnsi="Times New Roman"/>
          <w:sz w:val="24"/>
          <w:szCs w:val="24"/>
          <w:lang w:val="uk-UA"/>
        </w:rPr>
        <w:t xml:space="preserve"> - </w:t>
      </w:r>
      <w:r w:rsidRPr="00DC7ECC">
        <w:rPr>
          <w:rFonts w:ascii="Times New Roman" w:hAnsi="Times New Roman"/>
          <w:sz w:val="24"/>
          <w:szCs w:val="24"/>
          <w:lang w:val="uk-UA"/>
        </w:rPr>
        <w:t xml:space="preserve"> та фактично зобов’язала усіх професійних учасників фондового ринку та емітентів на платній основі надавати звітність до НКЦПФР.</w:t>
      </w:r>
    </w:p>
    <w:p w:rsidR="00D03A6C" w:rsidRPr="00DC7ECC" w:rsidRDefault="008D1A03" w:rsidP="00971320">
      <w:pPr>
        <w:pStyle w:val="2"/>
        <w:shd w:val="clear" w:color="auto" w:fill="FFFFFF"/>
        <w:tabs>
          <w:tab w:val="left" w:pos="900"/>
          <w:tab w:val="left" w:pos="1026"/>
        </w:tabs>
        <w:spacing w:after="60" w:line="240" w:lineRule="auto"/>
        <w:ind w:left="57" w:firstLine="65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DC7ECC">
        <w:rPr>
          <w:rFonts w:ascii="Times New Roman" w:hAnsi="Times New Roman"/>
          <w:sz w:val="24"/>
          <w:szCs w:val="24"/>
          <w:lang w:val="uk-UA" w:eastAsia="uk-UA"/>
        </w:rPr>
        <w:tab/>
      </w:r>
      <w:r w:rsidRPr="00DC7ECC">
        <w:rPr>
          <w:rFonts w:ascii="Times New Roman" w:hAnsi="Times New Roman"/>
          <w:sz w:val="24"/>
          <w:szCs w:val="24"/>
          <w:lang w:val="uk-UA"/>
        </w:rPr>
        <w:t xml:space="preserve">З огляду на практику Європейського союзу та у відповідності до </w:t>
      </w:r>
      <w:r w:rsidR="00EF6B8A" w:rsidRPr="00DC7ECC">
        <w:rPr>
          <w:rFonts w:ascii="Times New Roman" w:hAnsi="Times New Roman"/>
          <w:sz w:val="24"/>
          <w:szCs w:val="24"/>
          <w:lang w:val="uk-UA"/>
        </w:rPr>
        <w:t xml:space="preserve">його </w:t>
      </w:r>
      <w:r w:rsidRPr="00DC7ECC">
        <w:rPr>
          <w:rFonts w:ascii="Times New Roman" w:hAnsi="Times New Roman"/>
          <w:sz w:val="24"/>
          <w:szCs w:val="24"/>
          <w:lang w:val="uk-UA"/>
        </w:rPr>
        <w:t>нормативних документів</w:t>
      </w:r>
      <w:r w:rsidR="00EF6B8A" w:rsidRPr="00DC7ECC">
        <w:rPr>
          <w:rFonts w:ascii="Times New Roman" w:hAnsi="Times New Roman"/>
          <w:sz w:val="24"/>
          <w:szCs w:val="24"/>
          <w:lang w:val="uk-UA"/>
        </w:rPr>
        <w:t>,</w:t>
      </w:r>
      <w:r w:rsidRPr="00DC7ECC">
        <w:rPr>
          <w:rFonts w:ascii="Times New Roman" w:hAnsi="Times New Roman"/>
          <w:sz w:val="24"/>
          <w:szCs w:val="24"/>
          <w:lang w:val="uk-UA"/>
        </w:rPr>
        <w:t xml:space="preserve"> пропонуємо </w:t>
      </w:r>
      <w:r w:rsidR="002C5B82" w:rsidRPr="00DC7ECC">
        <w:rPr>
          <w:rFonts w:ascii="Times New Roman" w:hAnsi="Times New Roman"/>
          <w:sz w:val="24"/>
          <w:szCs w:val="24"/>
          <w:lang w:val="uk-UA"/>
        </w:rPr>
        <w:t>внести зміни до</w:t>
      </w:r>
      <w:r w:rsidRPr="00DC7EC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0714C" w:rsidRPr="00DC7ECC">
        <w:rPr>
          <w:rFonts w:ascii="Times New Roman" w:hAnsi="Times New Roman"/>
          <w:sz w:val="24"/>
          <w:szCs w:val="24"/>
          <w:lang w:val="uk-UA"/>
        </w:rPr>
        <w:t>Законопроекту №2284</w:t>
      </w:r>
      <w:r w:rsidR="002C5B82" w:rsidRPr="00DC7ECC">
        <w:rPr>
          <w:rFonts w:ascii="Times New Roman" w:hAnsi="Times New Roman"/>
          <w:sz w:val="24"/>
          <w:szCs w:val="24"/>
          <w:lang w:val="uk-UA"/>
        </w:rPr>
        <w:t>, в частині:</w:t>
      </w:r>
    </w:p>
    <w:p w:rsidR="002C5B82" w:rsidRPr="00DC7ECC" w:rsidRDefault="002C5B82" w:rsidP="00971320">
      <w:pPr>
        <w:pStyle w:val="2"/>
        <w:numPr>
          <w:ilvl w:val="0"/>
          <w:numId w:val="2"/>
        </w:numPr>
        <w:shd w:val="clear" w:color="auto" w:fill="FFFFFF"/>
        <w:tabs>
          <w:tab w:val="left" w:pos="900"/>
          <w:tab w:val="left" w:pos="1026"/>
        </w:tabs>
        <w:spacing w:after="60" w:line="240" w:lineRule="auto"/>
        <w:ind w:left="57" w:firstLine="65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DC7ECC">
        <w:rPr>
          <w:rFonts w:ascii="Times New Roman" w:hAnsi="Times New Roman"/>
          <w:sz w:val="24"/>
          <w:szCs w:val="24"/>
          <w:lang w:val="uk-UA"/>
        </w:rPr>
        <w:t>Видів діяльності з надання інформаційних послуг на ринках капіталу;</w:t>
      </w:r>
    </w:p>
    <w:p w:rsidR="002C5B82" w:rsidRPr="00DC7ECC" w:rsidRDefault="002C5B82" w:rsidP="00971320">
      <w:pPr>
        <w:pStyle w:val="2"/>
        <w:numPr>
          <w:ilvl w:val="0"/>
          <w:numId w:val="2"/>
        </w:numPr>
        <w:shd w:val="clear" w:color="auto" w:fill="FFFFFF"/>
        <w:tabs>
          <w:tab w:val="left" w:pos="900"/>
          <w:tab w:val="left" w:pos="1026"/>
        </w:tabs>
        <w:spacing w:after="60" w:line="240" w:lineRule="auto"/>
        <w:ind w:left="57" w:firstLine="65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DC7ECC">
        <w:rPr>
          <w:rFonts w:ascii="Times New Roman" w:hAnsi="Times New Roman"/>
          <w:sz w:val="24"/>
          <w:szCs w:val="24"/>
          <w:lang w:val="uk-UA"/>
        </w:rPr>
        <w:t xml:space="preserve">Порядку розкриття інформації емітентами цінних паперів, що здійснили публічну пропозицію цінних паперів або цінні папери яких допущені до обігу на фондовій біржі (регульованому </w:t>
      </w:r>
      <w:r w:rsidR="00EF6B8A" w:rsidRPr="00DC7ECC">
        <w:rPr>
          <w:rFonts w:ascii="Times New Roman" w:hAnsi="Times New Roman"/>
          <w:sz w:val="24"/>
          <w:szCs w:val="24"/>
          <w:lang w:val="uk-UA"/>
        </w:rPr>
        <w:t>ринку) шляхом надання безпосереднього та безоплатного доступу до державної сист</w:t>
      </w:r>
      <w:r w:rsidR="00971320" w:rsidRPr="00DC7ECC">
        <w:rPr>
          <w:rFonts w:ascii="Times New Roman" w:hAnsi="Times New Roman"/>
          <w:sz w:val="24"/>
          <w:szCs w:val="24"/>
          <w:lang w:val="uk-UA"/>
        </w:rPr>
        <w:t>еми збору даних;</w:t>
      </w:r>
    </w:p>
    <w:p w:rsidR="00DA4ECF" w:rsidRPr="00DC7ECC" w:rsidRDefault="00DA4ECF" w:rsidP="00971320">
      <w:pPr>
        <w:pStyle w:val="2"/>
        <w:numPr>
          <w:ilvl w:val="0"/>
          <w:numId w:val="2"/>
        </w:numPr>
        <w:shd w:val="clear" w:color="auto" w:fill="FFFFFF"/>
        <w:tabs>
          <w:tab w:val="left" w:pos="900"/>
          <w:tab w:val="left" w:pos="1026"/>
        </w:tabs>
        <w:spacing w:after="60" w:line="240" w:lineRule="auto"/>
        <w:ind w:left="57" w:firstLine="65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DC7ECC">
        <w:rPr>
          <w:rFonts w:ascii="Times New Roman" w:hAnsi="Times New Roman"/>
          <w:sz w:val="24"/>
          <w:szCs w:val="24"/>
          <w:lang w:val="uk-UA"/>
        </w:rPr>
        <w:t>Порядку надання інвестиційними фірмами та операторами ринку звітності до регулятора.</w:t>
      </w:r>
    </w:p>
    <w:p w:rsidR="00DC7ECC" w:rsidRDefault="00DC7ECC" w:rsidP="00971320">
      <w:pPr>
        <w:shd w:val="clear" w:color="auto" w:fill="FFFFFF"/>
        <w:spacing w:after="60" w:line="240" w:lineRule="auto"/>
        <w:ind w:left="57" w:firstLine="65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57" w:type="dxa"/>
        <w:tblLook w:val="04A0" w:firstRow="1" w:lastRow="0" w:firstColumn="1" w:lastColumn="0" w:noHBand="0" w:noVBand="1"/>
      </w:tblPr>
      <w:tblGrid>
        <w:gridCol w:w="4858"/>
        <w:gridCol w:w="4855"/>
      </w:tblGrid>
      <w:tr w:rsidR="00D95B37" w:rsidTr="00D95B37"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37" w:rsidRDefault="00D95B37">
            <w:pPr>
              <w:pStyle w:val="11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Редакція ПЗУ №2284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37" w:rsidRDefault="00D95B37">
            <w:pPr>
              <w:pStyle w:val="11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Пропозиції учасників фінансового ринку</w:t>
            </w:r>
          </w:p>
        </w:tc>
      </w:tr>
      <w:tr w:rsidR="00D95B37" w:rsidTr="00D95B37"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7" w:rsidRDefault="00D95B3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Ref20932851"/>
            <w:r>
              <w:rPr>
                <w:rFonts w:ascii="Times New Roman" w:hAnsi="Times New Roman" w:cs="Times New Roman"/>
                <w:sz w:val="24"/>
                <w:szCs w:val="24"/>
              </w:rPr>
              <w:t>Стаття 45. Розкриття інформації  інвестиційною фірмою</w:t>
            </w:r>
            <w:bookmarkEnd w:id="1"/>
          </w:p>
          <w:p w:rsidR="00D95B37" w:rsidRDefault="00D95B37" w:rsidP="00D95B37">
            <w:pPr>
              <w:pStyle w:val="a3"/>
              <w:numPr>
                <w:ilvl w:val="0"/>
                <w:numId w:val="12"/>
              </w:numPr>
              <w:tabs>
                <w:tab w:val="left" w:pos="850"/>
              </w:tabs>
              <w:spacing w:line="254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Інвестиційна фірма зобов’язана подавати звітні дані до Національної комісії з цінних паперів та фондового ринку та розмістити їх у Загальнодоступній інформаційній базі даних Національної комісії з цінних паперів та фондового ринку про ринки капіталу та організовані товарні ринки або у базі даних іншої особи, яка провадить діяльність із оприлюднення регульованої інформації від імені учасників ринків капіталу та/або професійних учасників ринків капіталу та організованих товарних ринків, такої інформації про всі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вчинені поза організованими ринками капіталу правочини щодо емісійних цінних паперів:</w:t>
            </w:r>
          </w:p>
          <w:p w:rsidR="00D95B37" w:rsidRDefault="00D95B37" w:rsidP="00D95B37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line="254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найменування емітента цінних паперів та його ідентифікаційний код згідно з Єдиним державним реєстром юридичних осіб, фізичних осіб-підприємців та громадських формувань, код LEI (за наявності);</w:t>
            </w:r>
          </w:p>
          <w:p w:rsidR="00D95B37" w:rsidRDefault="00D95B37" w:rsidP="00D95B37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line="254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вид, тип, клас, форма існування та форма випуску цінних паперів;</w:t>
            </w:r>
          </w:p>
          <w:p w:rsidR="00D95B37" w:rsidRDefault="00D95B37" w:rsidP="00D95B37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line="254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ISIN;</w:t>
            </w:r>
          </w:p>
          <w:p w:rsidR="00D95B37" w:rsidRDefault="00D95B37" w:rsidP="00D95B37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line="254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цінних паперів за кожним правочином;</w:t>
            </w:r>
          </w:p>
          <w:p w:rsidR="00D95B37" w:rsidRDefault="00D95B37" w:rsidP="00D95B37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line="254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ціна цінних паперів;</w:t>
            </w:r>
          </w:p>
          <w:p w:rsidR="00D95B37" w:rsidRDefault="00D95B37" w:rsidP="00D95B37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line="254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вчинення правочину;</w:t>
            </w:r>
          </w:p>
          <w:p w:rsidR="00D95B37" w:rsidRDefault="00D95B37" w:rsidP="00D95B37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line="254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інші відомості, що входять до складу звітних даних інвестиційної фірми, визначені Національною комісією з цінних паперів та фондового ринку.</w:t>
            </w:r>
          </w:p>
          <w:p w:rsidR="00D95B37" w:rsidRDefault="00D95B3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зазначеної інформації не включаються відомості про сторони правочинів.</w:t>
            </w:r>
          </w:p>
          <w:p w:rsidR="00D95B37" w:rsidRDefault="00D95B37">
            <w:pPr>
              <w:tabs>
                <w:tab w:val="left" w:pos="851"/>
              </w:tabs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B37" w:rsidRDefault="00D95B3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37" w:rsidRDefault="00D95B3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Стаття 45. Розкриття інформації  інвестиційною фірмою</w:t>
            </w:r>
          </w:p>
          <w:p w:rsidR="00D95B37" w:rsidRDefault="00D95B37">
            <w:pPr>
              <w:pStyle w:val="StyleZakonu"/>
              <w:shd w:val="clear" w:color="auto" w:fill="FFFFFF"/>
              <w:spacing w:after="120" w:line="240" w:lineRule="auto"/>
              <w:ind w:firstLine="709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1. Інвестиційна фірма зобов'язана подавати до Національної комісії з цінних паперів та фондового ринку звітні дані.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Національна комісія з цінних паперів та фондового ринку зобов’язана самостійно</w:t>
            </w: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забезпечити існування та функціонування щонайменше однієї системи, яка б створювала умови для </w:t>
            </w:r>
            <w:proofErr w:type="spellStart"/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t>безпосереднього</w:t>
            </w:r>
            <w:proofErr w:type="spellEnd"/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t>, прямого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подання інвестиційною фірмою звітних даних до Національної комісії з цінних паперів та фондового ринку</w:t>
            </w: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t xml:space="preserve"> та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розміщення їх у </w:t>
            </w:r>
            <w:r>
              <w:rPr>
                <w:b/>
                <w:sz w:val="24"/>
                <w:szCs w:val="24"/>
                <w:lang w:eastAsia="en-US"/>
              </w:rPr>
              <w:t xml:space="preserve">Загальнодоступній інформаційній базі даних Національної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комісії з цінних паперів та фондового ринку про ринки капіталу та організовані товарні ринки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Порядок та строки подання інвестиційною фірмою звітних даних встановлюються Національною комісією з цінних паперів та фондового ринку.</w:t>
            </w:r>
          </w:p>
          <w:p w:rsidR="00D95B37" w:rsidRDefault="00D95B37">
            <w:pPr>
              <w:tabs>
                <w:tab w:val="left" w:pos="643"/>
              </w:tabs>
              <w:spacing w:line="254" w:lineRule="auto"/>
              <w:ind w:firstLine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Звітні дані про всі вчинені інвестиційною фірмою поза організованими ринками капіталу правочини щодо емісійних цінних паперів</w:t>
            </w:r>
            <w:r w:rsidR="00C329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29C7" w:rsidRPr="00C329C7">
              <w:rPr>
                <w:rFonts w:ascii="Times New Roman" w:hAnsi="Times New Roman" w:cs="Times New Roman"/>
                <w:b/>
                <w:sz w:val="24"/>
                <w:szCs w:val="24"/>
              </w:rPr>
              <w:t>що розміщуються у Загальнодоступній інформаційній базі даних Національної комісії з цінних паперів та фондового ринку про ринки капіталу та організовані товарні ринки,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містять:</w:t>
            </w:r>
          </w:p>
          <w:p w:rsidR="00D95B37" w:rsidRDefault="00D95B37" w:rsidP="00D95B37">
            <w:pPr>
              <w:pStyle w:val="a3"/>
              <w:numPr>
                <w:ilvl w:val="0"/>
                <w:numId w:val="14"/>
              </w:numPr>
              <w:tabs>
                <w:tab w:val="left" w:pos="785"/>
              </w:tabs>
              <w:spacing w:line="254" w:lineRule="auto"/>
              <w:ind w:left="0" w:firstLine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найменування емітента цінних паперів та його ідентифікаційний код згідно з Єдиним державним реєстром юридичних осіб, фізичних осіб-підприємців та громадських формувань, код LEI (за наявності);</w:t>
            </w:r>
          </w:p>
          <w:p w:rsidR="00D95B37" w:rsidRDefault="00D95B37" w:rsidP="00D95B37">
            <w:pPr>
              <w:pStyle w:val="a3"/>
              <w:numPr>
                <w:ilvl w:val="0"/>
                <w:numId w:val="14"/>
              </w:numPr>
              <w:tabs>
                <w:tab w:val="left" w:pos="785"/>
              </w:tabs>
              <w:spacing w:line="254" w:lineRule="auto"/>
              <w:ind w:left="0" w:firstLine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вид, тип, клас, форма існування та форма випуску цінних паперів;</w:t>
            </w:r>
          </w:p>
          <w:p w:rsidR="00D95B37" w:rsidRDefault="00D95B37" w:rsidP="00D95B37">
            <w:pPr>
              <w:pStyle w:val="a3"/>
              <w:numPr>
                <w:ilvl w:val="0"/>
                <w:numId w:val="14"/>
              </w:numPr>
              <w:tabs>
                <w:tab w:val="left" w:pos="785"/>
              </w:tabs>
              <w:spacing w:line="254" w:lineRule="auto"/>
              <w:ind w:left="0" w:firstLine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ISIN;</w:t>
            </w:r>
          </w:p>
          <w:p w:rsidR="00D95B37" w:rsidRDefault="00D95B37" w:rsidP="00D95B37">
            <w:pPr>
              <w:pStyle w:val="a3"/>
              <w:numPr>
                <w:ilvl w:val="0"/>
                <w:numId w:val="14"/>
              </w:numPr>
              <w:tabs>
                <w:tab w:val="left" w:pos="785"/>
              </w:tabs>
              <w:spacing w:line="254" w:lineRule="auto"/>
              <w:ind w:left="0" w:firstLine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кількість цінних паперів за кожним правочином;</w:t>
            </w:r>
          </w:p>
          <w:p w:rsidR="00D95B37" w:rsidRDefault="00D95B37" w:rsidP="00D95B37">
            <w:pPr>
              <w:pStyle w:val="a3"/>
              <w:numPr>
                <w:ilvl w:val="0"/>
                <w:numId w:val="14"/>
              </w:numPr>
              <w:tabs>
                <w:tab w:val="left" w:pos="785"/>
              </w:tabs>
              <w:spacing w:line="254" w:lineRule="auto"/>
              <w:ind w:left="0" w:firstLine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ціна цінних паперів;</w:t>
            </w:r>
          </w:p>
          <w:p w:rsidR="00D95B37" w:rsidRDefault="00D95B37" w:rsidP="00D95B37">
            <w:pPr>
              <w:pStyle w:val="a3"/>
              <w:numPr>
                <w:ilvl w:val="0"/>
                <w:numId w:val="14"/>
              </w:numPr>
              <w:tabs>
                <w:tab w:val="left" w:pos="785"/>
              </w:tabs>
              <w:spacing w:line="254" w:lineRule="auto"/>
              <w:ind w:left="0" w:firstLine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вчинення правочину.</w:t>
            </w:r>
          </w:p>
          <w:p w:rsidR="00D95B37" w:rsidRDefault="00D95B37">
            <w:pPr>
              <w:tabs>
                <w:tab w:val="left" w:pos="785"/>
              </w:tabs>
              <w:ind w:firstLine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зазначеної інформації не включаються відомості про сторони правочинів.</w:t>
            </w:r>
          </w:p>
          <w:p w:rsidR="00D95B37" w:rsidRDefault="00D95B37">
            <w:pPr>
              <w:tabs>
                <w:tab w:val="left" w:pos="785"/>
              </w:tabs>
              <w:spacing w:line="254" w:lineRule="auto"/>
              <w:ind w:firstLine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95B37" w:rsidTr="00D95B37"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7" w:rsidRDefault="00D95B37">
            <w:pPr>
              <w:spacing w:after="60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Стаття 73. Діяльність з надання інформаційних послуг на ринках капіталу, яка потребує авторизації</w:t>
            </w:r>
          </w:p>
          <w:p w:rsidR="00D95B37" w:rsidRDefault="00D95B37">
            <w:pPr>
              <w:spacing w:after="60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Національна комісія з цінних паперів та фондового ринку в установленому нею порядку здійснює авторизацію юридичних осіб, які мають намір провадити такі види діяльності з надання інформаційних послуг на ринках капіталу та організованих товарних ринках:</w:t>
            </w:r>
          </w:p>
          <w:p w:rsidR="00D95B37" w:rsidRDefault="00D95B37">
            <w:pPr>
              <w:spacing w:after="60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діяльність з оприлюднення регульованої інформації від імені учасників ринків капіталу та/або професійних учасників ринків капіталу та організованих товарних ринків;</w:t>
            </w:r>
          </w:p>
          <w:p w:rsidR="00D95B37" w:rsidRDefault="00D95B37">
            <w:pPr>
              <w:spacing w:after="60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діяльність з оприлюднення регульованої інформації від імені учасників ринків капіталу та/або професійних учасників ринків капіталу та організованих товарних ринків;</w:t>
            </w:r>
          </w:p>
          <w:p w:rsidR="00D95B37" w:rsidRDefault="00D95B37">
            <w:pPr>
              <w:spacing w:after="60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діяльність з подання звітності та/або адміністративних даних до Національної комісії з цінних паперів та фондового ринку.</w:t>
            </w:r>
          </w:p>
          <w:p w:rsidR="00D95B37" w:rsidRDefault="00D95B37">
            <w:pPr>
              <w:spacing w:after="60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D95B37" w:rsidRDefault="00D95B3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7" w:rsidRDefault="00D95B37">
            <w:pPr>
              <w:shd w:val="clear" w:color="auto" w:fill="FFFFFF"/>
              <w:spacing w:after="60"/>
              <w:ind w:left="57"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Стаття 73. Діяльність з надання інформаційних послуг на ринках капіталу, яка потребує авторизації</w:t>
            </w:r>
          </w:p>
          <w:p w:rsidR="00D95B37" w:rsidRDefault="00D95B37" w:rsidP="00D95B37">
            <w:pPr>
              <w:pStyle w:val="2"/>
              <w:numPr>
                <w:ilvl w:val="0"/>
                <w:numId w:val="15"/>
              </w:numPr>
              <w:shd w:val="clear" w:color="auto" w:fill="FFFFFF"/>
              <w:tabs>
                <w:tab w:val="left" w:pos="900"/>
                <w:tab w:val="left" w:pos="1026"/>
              </w:tabs>
              <w:spacing w:after="60"/>
              <w:ind w:left="57" w:firstLine="65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Національна комісія з цінних паперів та фондового ринку в установленому нею порядку здійснює авторизацію юридичних осіб, які мають намір провадити такі види діяльності з надання інформаційних послуг на ринках капіталу:</w:t>
            </w:r>
          </w:p>
          <w:p w:rsidR="00D95B37" w:rsidRDefault="00D95B37" w:rsidP="00D95B37">
            <w:pPr>
              <w:pStyle w:val="2"/>
              <w:numPr>
                <w:ilvl w:val="0"/>
                <w:numId w:val="16"/>
              </w:numPr>
              <w:shd w:val="clear" w:color="auto" w:fill="FFFFFF"/>
              <w:tabs>
                <w:tab w:val="left" w:pos="900"/>
                <w:tab w:val="left" w:pos="1026"/>
              </w:tabs>
              <w:spacing w:after="60"/>
              <w:ind w:left="57" w:firstLine="652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діяльність з оприлюднення від імені інвестиційних фірм інформації про укладені на організованих ринках правочини щодо фінансових інструментів;</w:t>
            </w:r>
          </w:p>
          <w:p w:rsidR="00D95B37" w:rsidRDefault="00D95B37" w:rsidP="00D95B37">
            <w:pPr>
              <w:pStyle w:val="2"/>
              <w:numPr>
                <w:ilvl w:val="0"/>
                <w:numId w:val="16"/>
              </w:numPr>
              <w:shd w:val="clear" w:color="auto" w:fill="FFFFFF"/>
              <w:tabs>
                <w:tab w:val="left" w:pos="900"/>
                <w:tab w:val="left" w:pos="1026"/>
              </w:tabs>
              <w:spacing w:after="60"/>
              <w:ind w:left="57" w:firstLine="652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діяльність з розповсюдження в режимі безперервного оновлення консолідованої інформації про активи, допущені до торгів на організованих ринках;</w:t>
            </w:r>
          </w:p>
          <w:p w:rsidR="00D95B37" w:rsidRDefault="00D95B37" w:rsidP="00D95B37">
            <w:pPr>
              <w:pStyle w:val="2"/>
              <w:numPr>
                <w:ilvl w:val="0"/>
                <w:numId w:val="16"/>
              </w:numPr>
              <w:shd w:val="clear" w:color="auto" w:fill="FFFFFF"/>
              <w:tabs>
                <w:tab w:val="left" w:pos="900"/>
                <w:tab w:val="left" w:pos="1026"/>
              </w:tabs>
              <w:spacing w:after="60"/>
              <w:ind w:left="57" w:firstLine="65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діяльність з подання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звітних даних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Національної комісії з цінних паперів та фондового ринку.</w:t>
            </w:r>
          </w:p>
          <w:p w:rsidR="00D95B37" w:rsidRDefault="00D95B37">
            <w:pPr>
              <w:pStyle w:val="2"/>
              <w:shd w:val="clear" w:color="auto" w:fill="FFFFFF"/>
              <w:tabs>
                <w:tab w:val="left" w:pos="900"/>
                <w:tab w:val="left" w:pos="1026"/>
              </w:tabs>
              <w:spacing w:after="60"/>
              <w:ind w:left="5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95B37" w:rsidRDefault="00D95B37">
            <w:pPr>
              <w:pStyle w:val="2"/>
              <w:shd w:val="clear" w:color="auto" w:fill="FFFFFF"/>
              <w:tabs>
                <w:tab w:val="left" w:pos="900"/>
                <w:tab w:val="left" w:pos="1026"/>
              </w:tabs>
              <w:spacing w:after="60"/>
              <w:ind w:left="5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…</w:t>
            </w:r>
          </w:p>
        </w:tc>
      </w:tr>
      <w:tr w:rsidR="00D95B37" w:rsidTr="00D95B37"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37" w:rsidRDefault="00D95B37">
            <w:pPr>
              <w:spacing w:after="60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Стаття 120. Розкриття регульованої інформації </w:t>
            </w:r>
          </w:p>
          <w:p w:rsidR="00D95B37" w:rsidRDefault="00D95B37">
            <w:pPr>
              <w:spacing w:after="60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Регульована інформація розкривається у встановленому Національною комісією з цінних паперів та фондового ринку порядку шляхом її розміщення в Загальнодоступній інформаційній базі даних Національної комісії з цінних паперів та фондового ринку про ринки капіталу  та організовані товарні ринки або у базі даних іншої особи, яка провадить діяльність із оприлюднення регульованої інформації від імені учасників ринків капіталу та/або професійних учасників ринків капіталу та організованих товарних ринків, крім випадку, встановленого частиною четвертою цієї статті. </w:t>
            </w:r>
          </w:p>
          <w:p w:rsidR="00D95B37" w:rsidRDefault="00D95B37">
            <w:pPr>
              <w:spacing w:after="60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37" w:rsidRDefault="00D95B37">
            <w:pPr>
              <w:pStyle w:val="11"/>
              <w:tabs>
                <w:tab w:val="left" w:pos="1985"/>
              </w:tabs>
              <w:spacing w:before="0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Стаття 120. Розкриття регульованої інформації </w:t>
            </w:r>
          </w:p>
          <w:p w:rsidR="00D95B37" w:rsidRDefault="00D95B37">
            <w:pPr>
              <w:shd w:val="clear" w:color="auto" w:fill="FFFFFF"/>
              <w:spacing w:after="6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Регульована інформація розкривається у встановленому Національною комісією з цінних паперів та фондового ринку порядку шляхом її розміщення в загальнодоступній інформаційній базі даних Національної комісії з цінних паперів та фондового ринку про ринки капіталу.</w:t>
            </w:r>
          </w:p>
          <w:p w:rsidR="00D95B37" w:rsidRDefault="00D95B37">
            <w:pPr>
              <w:spacing w:after="6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Національна комісія з цінних паперів та фондового ринку зобов’язана самостійно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забезпечити існування та функціонування щонайменше однієї системи, яка б створювала умови для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безпосереднього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прямого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розкриття регульованої інформації у Загальнодоступній інформаційній базі даних Національної комісії з цінних паперів та фондового ринку про ринки капіталу та організовані товарні ринки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подання її до Національної комісії з цінних паперів та фондового ринку.</w:t>
            </w:r>
          </w:p>
          <w:p w:rsidR="00D95B37" w:rsidRDefault="00D95B37">
            <w:pPr>
              <w:shd w:val="clear" w:color="auto" w:fill="FFFFFF"/>
              <w:spacing w:after="60"/>
              <w:ind w:left="57"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D95B37" w:rsidRPr="00DC7ECC" w:rsidRDefault="00D95B37" w:rsidP="00971320">
      <w:pPr>
        <w:shd w:val="clear" w:color="auto" w:fill="FFFFFF"/>
        <w:spacing w:after="60" w:line="240" w:lineRule="auto"/>
        <w:ind w:left="57" w:firstLine="652"/>
        <w:jc w:val="both"/>
        <w:rPr>
          <w:rFonts w:ascii="Times New Roman" w:hAnsi="Times New Roman" w:cs="Times New Roman"/>
          <w:sz w:val="24"/>
          <w:szCs w:val="24"/>
        </w:rPr>
      </w:pPr>
    </w:p>
    <w:p w:rsidR="00DC7ECC" w:rsidRPr="00DC7ECC" w:rsidRDefault="00DC7ECC" w:rsidP="00971320">
      <w:pPr>
        <w:shd w:val="clear" w:color="auto" w:fill="FFFFFF"/>
        <w:spacing w:after="60" w:line="240" w:lineRule="auto"/>
        <w:ind w:left="57" w:firstLine="652"/>
        <w:jc w:val="both"/>
        <w:rPr>
          <w:rFonts w:ascii="Times New Roman" w:hAnsi="Times New Roman" w:cs="Times New Roman"/>
          <w:sz w:val="24"/>
          <w:szCs w:val="24"/>
        </w:rPr>
      </w:pPr>
    </w:p>
    <w:sectPr w:rsidR="00DC7ECC" w:rsidRPr="00DC7ECC" w:rsidSect="00D95B37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052B"/>
    <w:multiLevelType w:val="hybridMultilevel"/>
    <w:tmpl w:val="D4567606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C186BF2"/>
    <w:multiLevelType w:val="hybridMultilevel"/>
    <w:tmpl w:val="D89C6332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8840AAC"/>
    <w:multiLevelType w:val="hybridMultilevel"/>
    <w:tmpl w:val="FFFFFFFF"/>
    <w:lvl w:ilvl="0" w:tplc="3C5880F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46475B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6ED5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70E6C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95878B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A0E2A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A0AA9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E98B3F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CBEEE7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7A44DDB"/>
    <w:multiLevelType w:val="hybridMultilevel"/>
    <w:tmpl w:val="FFFFFFFF"/>
    <w:lvl w:ilvl="0" w:tplc="D72417A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A3AA319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2664B16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1672B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33A8072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3C4C778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6522802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D4410DA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EC669710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DDC5D80"/>
    <w:multiLevelType w:val="hybridMultilevel"/>
    <w:tmpl w:val="D4567606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6091041"/>
    <w:multiLevelType w:val="hybridMultilevel"/>
    <w:tmpl w:val="5BE24B34"/>
    <w:lvl w:ilvl="0" w:tplc="E606F3FC">
      <w:start w:val="1"/>
      <w:numFmt w:val="decimal"/>
      <w:lvlText w:val="Стаття 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B0243EC"/>
    <w:multiLevelType w:val="hybridMultilevel"/>
    <w:tmpl w:val="EA38F53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2618E4"/>
    <w:multiLevelType w:val="hybridMultilevel"/>
    <w:tmpl w:val="FFFFFFFF"/>
    <w:lvl w:ilvl="0" w:tplc="D72417A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A3AA319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2664B16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1672B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33A8072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3C4C778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6522802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D4410DA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EC669710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ADE47B7"/>
    <w:multiLevelType w:val="hybridMultilevel"/>
    <w:tmpl w:val="E592C2C2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91E6527"/>
    <w:multiLevelType w:val="hybridMultilevel"/>
    <w:tmpl w:val="3424D9C0"/>
    <w:lvl w:ilvl="0" w:tplc="53484F50">
      <w:start w:val="5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9DA72F0"/>
    <w:multiLevelType w:val="hybridMultilevel"/>
    <w:tmpl w:val="3F34F7B2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0"/>
  </w:num>
  <w:num w:numId="7">
    <w:abstractNumId w:val="4"/>
  </w:num>
  <w:num w:numId="8">
    <w:abstractNumId w:val="8"/>
  </w:num>
  <w:num w:numId="9">
    <w:abstractNumId w:val="5"/>
  </w:num>
  <w:num w:numId="10">
    <w:abstractNumId w:val="1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506"/>
    <w:rsid w:val="0002078B"/>
    <w:rsid w:val="000E13C4"/>
    <w:rsid w:val="00131C8E"/>
    <w:rsid w:val="002826C6"/>
    <w:rsid w:val="002B0444"/>
    <w:rsid w:val="002C5B82"/>
    <w:rsid w:val="003B2B44"/>
    <w:rsid w:val="003C6B3E"/>
    <w:rsid w:val="003E6506"/>
    <w:rsid w:val="005348AE"/>
    <w:rsid w:val="005F38F9"/>
    <w:rsid w:val="00613B9E"/>
    <w:rsid w:val="00660DC5"/>
    <w:rsid w:val="006F5D19"/>
    <w:rsid w:val="006F7FC2"/>
    <w:rsid w:val="00750124"/>
    <w:rsid w:val="007919D5"/>
    <w:rsid w:val="007B17C9"/>
    <w:rsid w:val="007B587A"/>
    <w:rsid w:val="008073E8"/>
    <w:rsid w:val="008D1A03"/>
    <w:rsid w:val="008E1D60"/>
    <w:rsid w:val="0090648F"/>
    <w:rsid w:val="00971320"/>
    <w:rsid w:val="00971DF3"/>
    <w:rsid w:val="00C329C7"/>
    <w:rsid w:val="00C34924"/>
    <w:rsid w:val="00CE6E35"/>
    <w:rsid w:val="00D02236"/>
    <w:rsid w:val="00D03A6C"/>
    <w:rsid w:val="00D95B37"/>
    <w:rsid w:val="00DA4ECF"/>
    <w:rsid w:val="00DC7ECC"/>
    <w:rsid w:val="00E0714C"/>
    <w:rsid w:val="00EF6B8A"/>
    <w:rsid w:val="00F2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F490AB-5995-4040-99A0-D469F3C8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B44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3B2B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qFormat/>
    <w:rsid w:val="003B2B44"/>
    <w:pPr>
      <w:spacing w:before="240" w:line="240" w:lineRule="auto"/>
      <w:ind w:firstLine="567"/>
      <w:jc w:val="both"/>
    </w:pPr>
    <w:rPr>
      <w:rFonts w:ascii="Times New Roman" w:hAnsi="Times New Roman" w:cs="Times New Roman"/>
      <w:b w:val="0"/>
      <w:bCs w:val="0"/>
      <w:color w:val="auto"/>
    </w:rPr>
  </w:style>
  <w:style w:type="character" w:customStyle="1" w:styleId="12">
    <w:name w:val="1 Знак"/>
    <w:basedOn w:val="a0"/>
    <w:link w:val="11"/>
    <w:rsid w:val="003B2B44"/>
    <w:rPr>
      <w:rFonts w:ascii="Times New Roman" w:eastAsiaTheme="majorEastAsia" w:hAnsi="Times New Roman" w:cs="Times New Roman"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3B2B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customStyle="1" w:styleId="2">
    <w:name w:val="Абзац списка2"/>
    <w:basedOn w:val="a"/>
    <w:uiPriority w:val="99"/>
    <w:rsid w:val="007B587A"/>
    <w:pPr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3">
    <w:name w:val="List Paragraph"/>
    <w:basedOn w:val="a"/>
    <w:uiPriority w:val="34"/>
    <w:qFormat/>
    <w:rsid w:val="007B587A"/>
    <w:pPr>
      <w:ind w:left="720"/>
      <w:contextualSpacing/>
    </w:pPr>
  </w:style>
  <w:style w:type="paragraph" w:customStyle="1" w:styleId="StyleZakonu">
    <w:name w:val="StyleZakonu"/>
    <w:basedOn w:val="a"/>
    <w:link w:val="StyleZakonu0"/>
    <w:uiPriority w:val="99"/>
    <w:rsid w:val="006F5D19"/>
    <w:pPr>
      <w:spacing w:after="60" w:line="220" w:lineRule="exact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uiPriority w:val="99"/>
    <w:locked/>
    <w:rsid w:val="006F5D1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4">
    <w:name w:val="Table Grid"/>
    <w:basedOn w:val="a1"/>
    <w:uiPriority w:val="59"/>
    <w:rsid w:val="00DC7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1820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Ревило Елизавета</dc:creator>
  <cp:lastModifiedBy>melichenko</cp:lastModifiedBy>
  <cp:revision>2</cp:revision>
  <cp:lastPrinted>2019-10-28T10:41:00Z</cp:lastPrinted>
  <dcterms:created xsi:type="dcterms:W3CDTF">2019-10-29T14:31:00Z</dcterms:created>
  <dcterms:modified xsi:type="dcterms:W3CDTF">2019-10-29T14:31:00Z</dcterms:modified>
</cp:coreProperties>
</file>